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8A28" w14:textId="77777777" w:rsidR="009C4435" w:rsidRDefault="009C4435" w:rsidP="009C4435">
      <w:bookmarkStart w:id="0" w:name="_Hlk87023326"/>
    </w:p>
    <w:p w14:paraId="4BA3DA00" w14:textId="77777777" w:rsidR="009C4435" w:rsidRPr="009C4435" w:rsidRDefault="00AF683D" w:rsidP="009C4435">
      <w:pPr>
        <w:tabs>
          <w:tab w:val="left" w:pos="7560"/>
        </w:tabs>
        <w:ind w:right="-1109"/>
        <w:rPr>
          <w:sz w:val="22"/>
          <w:szCs w:val="22"/>
        </w:rPr>
      </w:pPr>
      <w:r>
        <w:rPr>
          <w:sz w:val="22"/>
          <w:szCs w:val="22"/>
        </w:rPr>
        <w:object w:dxaOrig="1440" w:dyaOrig="1440" w14:anchorId="62E447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133.85pt;margin-top:-45.45pt;width:320.1pt;height:28.1pt;z-index:251661312;mso-wrap-edited:f" wrapcoords="3572 1580 2041 2634 170 7376 170 11590 2381 19493 5272 20020 11055 20020 17008 20020 21260 12117 21600 4215 18709 2107 9524 1580 3572 1580" o:allowincell="f" fillcolor="window">
            <v:imagedata r:id="rId11" o:title=""/>
          </v:shape>
          <o:OLEObject Type="Embed" ProgID="Word.Picture.8" ShapeID="_x0000_s2051" DrawAspect="Content" ObjectID="_1697650834" r:id="rId12"/>
        </w:object>
      </w:r>
      <w:r w:rsidR="009C4435" w:rsidRPr="009C4435">
        <w:rPr>
          <w:sz w:val="22"/>
          <w:szCs w:val="22"/>
        </w:rPr>
        <w:t>QUINQUAGÉSIMO PRIMEIRO PERÍODO ORDINÁRIO DE SESSÕES</w:t>
      </w:r>
      <w:r w:rsidR="009C4435" w:rsidRPr="009C4435">
        <w:rPr>
          <w:sz w:val="22"/>
          <w:szCs w:val="22"/>
        </w:rPr>
        <w:tab/>
        <w:t>OEA/Ser.P</w:t>
      </w:r>
    </w:p>
    <w:p w14:paraId="67EF180D" w14:textId="308BE232" w:rsidR="009C4435" w:rsidRPr="009C4435" w:rsidRDefault="009C4435" w:rsidP="009C4435">
      <w:pPr>
        <w:tabs>
          <w:tab w:val="center" w:pos="2160"/>
          <w:tab w:val="left" w:pos="7560"/>
        </w:tabs>
        <w:ind w:right="-1469"/>
        <w:rPr>
          <w:sz w:val="22"/>
          <w:szCs w:val="22"/>
        </w:rPr>
      </w:pPr>
      <w:r w:rsidRPr="009C4435">
        <w:rPr>
          <w:sz w:val="22"/>
          <w:szCs w:val="22"/>
        </w:rPr>
        <w:t>10 a 12 de novembro de 2021</w:t>
      </w:r>
      <w:r w:rsidRPr="009C4435">
        <w:rPr>
          <w:sz w:val="22"/>
          <w:szCs w:val="22"/>
        </w:rPr>
        <w:tab/>
        <w:t>AG/doc.573</w:t>
      </w:r>
      <w:r>
        <w:rPr>
          <w:sz w:val="22"/>
          <w:szCs w:val="22"/>
        </w:rPr>
        <w:t>6</w:t>
      </w:r>
      <w:r w:rsidRPr="009C4435">
        <w:rPr>
          <w:sz w:val="22"/>
          <w:szCs w:val="22"/>
        </w:rPr>
        <w:t>/21</w:t>
      </w:r>
    </w:p>
    <w:p w14:paraId="5A7A93B2" w14:textId="77777777" w:rsidR="009C4435" w:rsidRPr="009C4435" w:rsidRDefault="009C4435" w:rsidP="009C4435">
      <w:pPr>
        <w:tabs>
          <w:tab w:val="left" w:pos="7560"/>
        </w:tabs>
        <w:ind w:right="-1109"/>
        <w:rPr>
          <w:sz w:val="22"/>
          <w:szCs w:val="22"/>
        </w:rPr>
      </w:pPr>
      <w:r w:rsidRPr="009C4435">
        <w:rPr>
          <w:color w:val="0D0C12"/>
          <w:spacing w:val="-1"/>
          <w:sz w:val="22"/>
          <w:szCs w:val="22"/>
        </w:rPr>
        <w:t>Cidade da Guatemala</w:t>
      </w:r>
      <w:r w:rsidRPr="009C4435">
        <w:rPr>
          <w:sz w:val="22"/>
          <w:szCs w:val="22"/>
        </w:rPr>
        <w:t>, Guatemala</w:t>
      </w:r>
      <w:r w:rsidRPr="009C4435">
        <w:rPr>
          <w:sz w:val="22"/>
          <w:szCs w:val="22"/>
        </w:rPr>
        <w:tab/>
        <w:t>5 novembro 2021</w:t>
      </w:r>
    </w:p>
    <w:p w14:paraId="2B80FFDD" w14:textId="77777777" w:rsidR="009C4435" w:rsidRPr="009C4435" w:rsidRDefault="009C4435" w:rsidP="009C4435">
      <w:pPr>
        <w:tabs>
          <w:tab w:val="center" w:pos="2160"/>
          <w:tab w:val="left" w:pos="7560"/>
        </w:tabs>
        <w:ind w:right="-1109"/>
        <w:rPr>
          <w:sz w:val="22"/>
          <w:szCs w:val="22"/>
        </w:rPr>
      </w:pPr>
      <w:r w:rsidRPr="009C4435">
        <w:rPr>
          <w:sz w:val="22"/>
          <w:szCs w:val="22"/>
        </w:rPr>
        <w:t>VIRTUAL</w:t>
      </w:r>
      <w:r w:rsidRPr="009C4435">
        <w:rPr>
          <w:sz w:val="22"/>
          <w:szCs w:val="22"/>
        </w:rPr>
        <w:tab/>
      </w:r>
      <w:r w:rsidRPr="009C4435">
        <w:rPr>
          <w:sz w:val="22"/>
          <w:szCs w:val="22"/>
        </w:rPr>
        <w:tab/>
        <w:t>Original: espanhol</w:t>
      </w:r>
    </w:p>
    <w:bookmarkEnd w:id="0"/>
    <w:p w14:paraId="0A241916" w14:textId="2806908B" w:rsidR="002E2D15" w:rsidRDefault="002E2D15" w:rsidP="002E2D15">
      <w:pPr>
        <w:jc w:val="both"/>
        <w:rPr>
          <w:bCs/>
          <w:sz w:val="22"/>
          <w:szCs w:val="22"/>
          <w:lang w:eastAsia="es-ES"/>
        </w:rPr>
      </w:pPr>
    </w:p>
    <w:p w14:paraId="22B7AA42" w14:textId="215308EB" w:rsidR="002B621A" w:rsidRPr="00AF683D" w:rsidRDefault="002B621A" w:rsidP="002B621A">
      <w:pPr>
        <w:tabs>
          <w:tab w:val="center" w:pos="2160"/>
          <w:tab w:val="left" w:pos="7560"/>
        </w:tabs>
        <w:ind w:right="-1109"/>
        <w:rPr>
          <w:sz w:val="22"/>
          <w:szCs w:val="22"/>
        </w:rPr>
      </w:pPr>
      <w:r w:rsidRPr="00AF683D">
        <w:rPr>
          <w:sz w:val="22"/>
          <w:szCs w:val="22"/>
        </w:rPr>
        <w:tab/>
      </w:r>
      <w:r w:rsidRPr="00AF683D">
        <w:rPr>
          <w:sz w:val="22"/>
          <w:szCs w:val="22"/>
        </w:rPr>
        <w:tab/>
      </w:r>
      <w:r w:rsidRPr="00AF683D">
        <w:rPr>
          <w:sz w:val="22"/>
          <w:szCs w:val="22"/>
          <w:u w:val="single"/>
        </w:rPr>
        <w:t xml:space="preserve">Tema </w:t>
      </w:r>
      <w:r w:rsidRPr="00AF683D">
        <w:rPr>
          <w:sz w:val="22"/>
          <w:szCs w:val="22"/>
          <w:u w:val="single"/>
        </w:rPr>
        <w:t>19</w:t>
      </w:r>
      <w:r w:rsidRPr="00AF683D">
        <w:rPr>
          <w:sz w:val="22"/>
          <w:szCs w:val="22"/>
          <w:u w:val="single"/>
        </w:rPr>
        <w:t xml:space="preserve"> da agenda</w:t>
      </w:r>
    </w:p>
    <w:p w14:paraId="1EE3F472" w14:textId="77777777" w:rsidR="002B621A" w:rsidRPr="002E2D15" w:rsidRDefault="002B621A" w:rsidP="002B621A">
      <w:pPr>
        <w:jc w:val="both"/>
        <w:rPr>
          <w:bCs/>
          <w:sz w:val="22"/>
          <w:szCs w:val="22"/>
          <w:lang w:eastAsia="es-ES"/>
        </w:rPr>
      </w:pPr>
    </w:p>
    <w:p w14:paraId="5C4D8046" w14:textId="243EF518" w:rsidR="002E2D15" w:rsidRPr="002E2D15" w:rsidRDefault="002E2D15" w:rsidP="002B621A">
      <w:pPr>
        <w:jc w:val="both"/>
        <w:rPr>
          <w:bCs/>
          <w:sz w:val="22"/>
          <w:szCs w:val="22"/>
          <w:lang w:eastAsia="es-ES"/>
        </w:rPr>
      </w:pPr>
    </w:p>
    <w:p w14:paraId="1E4D5045" w14:textId="77777777" w:rsidR="002E2D15" w:rsidRPr="002E2D15" w:rsidRDefault="002E2D15" w:rsidP="002B621A">
      <w:pPr>
        <w:jc w:val="both"/>
        <w:rPr>
          <w:bCs/>
          <w:sz w:val="22"/>
          <w:szCs w:val="22"/>
          <w:lang w:eastAsia="es-ES"/>
        </w:rPr>
      </w:pPr>
    </w:p>
    <w:p w14:paraId="5FE8C812" w14:textId="77777777" w:rsidR="00D8302D" w:rsidRPr="002E2D15" w:rsidRDefault="00D8302D" w:rsidP="002B621A">
      <w:pPr>
        <w:pStyle w:val="Heading1"/>
        <w:jc w:val="center"/>
        <w:rPr>
          <w:rFonts w:ascii="Times New Roman" w:hAnsi="Times New Roman"/>
          <w:b w:val="0"/>
          <w:szCs w:val="22"/>
          <w:lang w:val="pt-BR"/>
        </w:rPr>
      </w:pPr>
      <w:r w:rsidRPr="002E2D15">
        <w:rPr>
          <w:rFonts w:ascii="Times New Roman" w:hAnsi="Times New Roman"/>
          <w:b w:val="0"/>
          <w:szCs w:val="22"/>
          <w:lang w:val="pt-BR"/>
        </w:rPr>
        <w:t xml:space="preserve">PROJETO DE RESOLUÇÃO </w:t>
      </w:r>
    </w:p>
    <w:p w14:paraId="0050531A" w14:textId="77777777" w:rsidR="00D8302D" w:rsidRPr="002E2D15" w:rsidRDefault="00D8302D" w:rsidP="002B621A">
      <w:pPr>
        <w:pStyle w:val="Heading1"/>
        <w:jc w:val="center"/>
        <w:rPr>
          <w:rFonts w:ascii="Times New Roman" w:hAnsi="Times New Roman"/>
          <w:b w:val="0"/>
          <w:szCs w:val="22"/>
          <w:lang w:val="pt-BR"/>
        </w:rPr>
      </w:pPr>
    </w:p>
    <w:p w14:paraId="2490C9E3" w14:textId="469FFCAC" w:rsidR="00D8302D" w:rsidRPr="002E2D15" w:rsidRDefault="00D8302D" w:rsidP="002E2D15">
      <w:pPr>
        <w:pStyle w:val="Heading1"/>
        <w:jc w:val="center"/>
        <w:rPr>
          <w:rFonts w:ascii="Times New Roman" w:hAnsi="Times New Roman"/>
          <w:szCs w:val="22"/>
          <w:highlight w:val="yellow"/>
          <w:lang w:val="pt-BR"/>
        </w:rPr>
      </w:pPr>
      <w:r w:rsidRPr="002E2D15">
        <w:rPr>
          <w:rFonts w:ascii="Times New Roman" w:hAnsi="Times New Roman"/>
          <w:b w:val="0"/>
          <w:szCs w:val="22"/>
          <w:lang w:val="pt-BR"/>
        </w:rPr>
        <w:t xml:space="preserve">COORDENAÇÃO DO VOLUNTARIADO NO HEMISFÉRIO PARA A RESPOSTA </w:t>
      </w:r>
      <w:r w:rsidR="002E2D15" w:rsidRPr="002E2D15">
        <w:rPr>
          <w:rFonts w:ascii="Times New Roman" w:hAnsi="Times New Roman"/>
          <w:b w:val="0"/>
          <w:szCs w:val="22"/>
          <w:lang w:val="pt-BR"/>
        </w:rPr>
        <w:br/>
      </w:r>
      <w:r w:rsidRPr="002E2D15">
        <w:rPr>
          <w:rFonts w:ascii="Times New Roman" w:hAnsi="Times New Roman"/>
          <w:b w:val="0"/>
          <w:szCs w:val="22"/>
          <w:lang w:val="pt-BR"/>
        </w:rPr>
        <w:t xml:space="preserve">AOS DESASTRES E A LUTA CONTRA A FOME E A POBREZA – INICIATIVA </w:t>
      </w:r>
      <w:r w:rsidR="002E2D15" w:rsidRPr="002E2D15">
        <w:rPr>
          <w:rFonts w:ascii="Times New Roman" w:hAnsi="Times New Roman"/>
          <w:b w:val="0"/>
          <w:szCs w:val="22"/>
          <w:lang w:val="pt-BR"/>
        </w:rPr>
        <w:br/>
      </w:r>
      <w:r w:rsidRPr="002E2D15">
        <w:rPr>
          <w:rFonts w:ascii="Times New Roman" w:hAnsi="Times New Roman"/>
          <w:b w:val="0"/>
          <w:szCs w:val="22"/>
          <w:lang w:val="pt-BR"/>
        </w:rPr>
        <w:t>CAPACETES BRANCOS</w:t>
      </w:r>
    </w:p>
    <w:p w14:paraId="619DE135" w14:textId="77777777" w:rsidR="00D8302D" w:rsidRPr="002E2D15" w:rsidRDefault="00D8302D" w:rsidP="002E2D15">
      <w:pPr>
        <w:rPr>
          <w:sz w:val="22"/>
          <w:szCs w:val="22"/>
          <w:highlight w:val="yellow"/>
        </w:rPr>
      </w:pPr>
    </w:p>
    <w:p w14:paraId="46BA5E2C" w14:textId="2E52AF72" w:rsidR="00D8302D" w:rsidRPr="002E2D15" w:rsidRDefault="00D8302D" w:rsidP="002E2D15">
      <w:pPr>
        <w:jc w:val="center"/>
        <w:rPr>
          <w:sz w:val="22"/>
          <w:szCs w:val="22"/>
        </w:rPr>
      </w:pPr>
      <w:r w:rsidRPr="002E2D15">
        <w:rPr>
          <w:color w:val="222222"/>
          <w:sz w:val="22"/>
          <w:szCs w:val="22"/>
          <w:lang w:val="pt-PT"/>
        </w:rPr>
        <w:t>(</w:t>
      </w:r>
      <w:r w:rsidR="002E2D15" w:rsidRPr="002E2D15">
        <w:rPr>
          <w:sz w:val="22"/>
          <w:szCs w:val="22"/>
        </w:rPr>
        <w:t xml:space="preserve">Acordado pelo Conselho Permanente em sua sessão virtual de 4 de novembro de 2021,  </w:t>
      </w:r>
      <w:r w:rsidR="002E2D15" w:rsidRPr="002E2D15">
        <w:rPr>
          <w:sz w:val="22"/>
          <w:szCs w:val="22"/>
        </w:rPr>
        <w:br/>
        <w:t>e submetido à consideração do plenário da Assembleia Geral</w:t>
      </w:r>
      <w:r w:rsidRPr="002E2D15">
        <w:rPr>
          <w:color w:val="222222"/>
          <w:sz w:val="22"/>
          <w:szCs w:val="22"/>
          <w:lang w:val="pt-PT"/>
        </w:rPr>
        <w:t>)</w:t>
      </w:r>
    </w:p>
    <w:p w14:paraId="1B42ED59" w14:textId="77777777" w:rsidR="00D8302D" w:rsidRPr="002E2D15" w:rsidRDefault="00D8302D" w:rsidP="002E2D15">
      <w:pPr>
        <w:rPr>
          <w:sz w:val="22"/>
          <w:szCs w:val="22"/>
          <w:highlight w:val="yellow"/>
        </w:rPr>
      </w:pPr>
    </w:p>
    <w:p w14:paraId="7913E77A" w14:textId="77777777" w:rsidR="00D8302D" w:rsidRPr="002E2D15" w:rsidRDefault="00D8302D" w:rsidP="002E2D15">
      <w:pPr>
        <w:rPr>
          <w:sz w:val="22"/>
          <w:szCs w:val="22"/>
          <w:highlight w:val="yellow"/>
        </w:rPr>
      </w:pPr>
    </w:p>
    <w:p w14:paraId="0BA41DF2" w14:textId="77777777" w:rsidR="00D8302D" w:rsidRPr="002E2D15" w:rsidRDefault="00D8302D" w:rsidP="002E2D15">
      <w:pPr>
        <w:suppressAutoHyphens/>
        <w:kinsoku w:val="0"/>
        <w:ind w:firstLine="706"/>
        <w:contextualSpacing/>
        <w:jc w:val="both"/>
        <w:rPr>
          <w:sz w:val="22"/>
          <w:szCs w:val="22"/>
        </w:rPr>
      </w:pPr>
      <w:r w:rsidRPr="002E2D15">
        <w:rPr>
          <w:sz w:val="22"/>
          <w:szCs w:val="22"/>
        </w:rPr>
        <w:t>A ASSEMBLEIA GERAL,</w:t>
      </w:r>
    </w:p>
    <w:p w14:paraId="3390AE72" w14:textId="77777777" w:rsidR="00D8302D" w:rsidRPr="002E2D15" w:rsidRDefault="00D8302D" w:rsidP="002E2D15">
      <w:pPr>
        <w:suppressAutoHyphens/>
        <w:kinsoku w:val="0"/>
        <w:contextualSpacing/>
        <w:jc w:val="both"/>
        <w:rPr>
          <w:sz w:val="22"/>
          <w:szCs w:val="22"/>
          <w:lang w:eastAsia="ar-SA"/>
        </w:rPr>
      </w:pPr>
    </w:p>
    <w:p w14:paraId="50811CB6" w14:textId="77777777" w:rsidR="00D8302D" w:rsidRPr="002E2D15" w:rsidRDefault="00D8302D" w:rsidP="002E2D15">
      <w:pPr>
        <w:suppressAutoHyphens/>
        <w:kinsoku w:val="0"/>
        <w:contextualSpacing/>
        <w:jc w:val="both"/>
        <w:rPr>
          <w:sz w:val="22"/>
          <w:szCs w:val="22"/>
        </w:rPr>
      </w:pPr>
      <w:r w:rsidRPr="002E2D15">
        <w:rPr>
          <w:sz w:val="22"/>
          <w:szCs w:val="22"/>
        </w:rPr>
        <w:tab/>
        <w:t>TENDO VISTO os relatórios da Secretaria-Geral sobre a Iniciativa Capacetes Brancos, as resoluções AG/RES. 1351 (XXV-O/95),  AG/RES. 1403 (XXVI-O/96), AG/RES. 1463 (XXVII-O/97), AG/RES. 2018 (XXXIV-O/04), AG/RES. 2165 (XXXVI-O/06), AG/RES. 2372 (XXXVIII-O/08), AG/RES. 2558 (XL-O/10), AG/RES. 2704 (XLII-O/12), AG/RES. 2827 (XLIV-O/14), AG/RES. 2881 (XLVI-O/16), AG/RES. 2904 (XLVII-O/17), CIDI/RES. 322 (LXXIII-O/17), AG/RES. 2915 (XLVIII-O/18) e as declarações AG/DEC. 45 (XXXV-O/05) e AG/DEC. 55 (XXXVII-O/07);</w:t>
      </w:r>
    </w:p>
    <w:p w14:paraId="04374F08" w14:textId="77777777" w:rsidR="00D8302D" w:rsidRPr="002E2D15" w:rsidRDefault="00D8302D" w:rsidP="002E2D15">
      <w:pPr>
        <w:suppressAutoHyphens/>
        <w:kinsoku w:val="0"/>
        <w:contextualSpacing/>
        <w:jc w:val="both"/>
        <w:rPr>
          <w:sz w:val="22"/>
          <w:szCs w:val="22"/>
          <w:lang w:eastAsia="ar-SA"/>
        </w:rPr>
      </w:pPr>
    </w:p>
    <w:p w14:paraId="58DFA25F" w14:textId="77777777" w:rsidR="00D8302D" w:rsidRPr="002E2D15" w:rsidRDefault="00D8302D" w:rsidP="002E2D15">
      <w:pPr>
        <w:suppressAutoHyphens/>
        <w:kinsoku w:val="0"/>
        <w:ind w:firstLine="706"/>
        <w:contextualSpacing/>
        <w:jc w:val="both"/>
        <w:rPr>
          <w:sz w:val="22"/>
          <w:szCs w:val="22"/>
        </w:rPr>
      </w:pPr>
      <w:r w:rsidRPr="002E2D15">
        <w:rPr>
          <w:sz w:val="22"/>
          <w:szCs w:val="22"/>
        </w:rPr>
        <w:t>REAFIRMANDO o compromisso com os princípios reitores da assistência humanitária internacional de humanidade, neutralidade, imparcialidade e independência operacional, e a responsabilidade primordial e principal do Estado de prevenir e reduzir o risco diante dos desastres, assim como de atender às vítimas e protegê-las;</w:t>
      </w:r>
    </w:p>
    <w:p w14:paraId="166506C2" w14:textId="77777777" w:rsidR="00D8302D" w:rsidRPr="002E2D15" w:rsidRDefault="00D8302D" w:rsidP="002E2D15">
      <w:pPr>
        <w:suppressAutoHyphens/>
        <w:kinsoku w:val="0"/>
        <w:contextualSpacing/>
        <w:jc w:val="both"/>
        <w:rPr>
          <w:sz w:val="22"/>
          <w:szCs w:val="22"/>
          <w:lang w:eastAsia="ar-SA"/>
        </w:rPr>
      </w:pPr>
    </w:p>
    <w:p w14:paraId="3CC0F7B3" w14:textId="77777777" w:rsidR="00D8302D" w:rsidRPr="002E2D15" w:rsidRDefault="00D8302D" w:rsidP="002E2D15">
      <w:pPr>
        <w:suppressAutoHyphens/>
        <w:kinsoku w:val="0"/>
        <w:ind w:firstLine="706"/>
        <w:contextualSpacing/>
        <w:jc w:val="both"/>
        <w:rPr>
          <w:sz w:val="22"/>
          <w:szCs w:val="22"/>
        </w:rPr>
      </w:pPr>
      <w:r w:rsidRPr="002E2D15">
        <w:rPr>
          <w:sz w:val="22"/>
          <w:szCs w:val="22"/>
        </w:rPr>
        <w:t>TENDO EM VISTA que o Marco de Sendai para a Redução do Risco de Desastres 2015-2030 reconhece a necessidade de um enfoque preventivo do risco de desastres, amplo e centrado nas pessoas, e que a redução do risco de desastres contribui para o desenvolvimento sustentável;</w:t>
      </w:r>
    </w:p>
    <w:p w14:paraId="51EB62D8" w14:textId="77777777" w:rsidR="00D8302D" w:rsidRPr="002E2D15" w:rsidRDefault="00D8302D" w:rsidP="002E2D15">
      <w:pPr>
        <w:suppressAutoHyphens/>
        <w:kinsoku w:val="0"/>
        <w:contextualSpacing/>
        <w:jc w:val="both"/>
        <w:rPr>
          <w:sz w:val="22"/>
          <w:szCs w:val="22"/>
          <w:lang w:eastAsia="ar-SA"/>
        </w:rPr>
      </w:pPr>
    </w:p>
    <w:p w14:paraId="4E3BE9FC" w14:textId="77777777" w:rsidR="00D8302D" w:rsidRPr="002E2D15" w:rsidRDefault="00D8302D" w:rsidP="002E2D15">
      <w:pPr>
        <w:suppressAutoHyphens/>
        <w:kinsoku w:val="0"/>
        <w:ind w:firstLine="706"/>
        <w:contextualSpacing/>
        <w:jc w:val="both"/>
        <w:rPr>
          <w:sz w:val="22"/>
          <w:szCs w:val="22"/>
        </w:rPr>
      </w:pPr>
      <w:r w:rsidRPr="002E2D15">
        <w:rPr>
          <w:sz w:val="22"/>
          <w:szCs w:val="22"/>
        </w:rPr>
        <w:t>LEVANDO EM CONTA a Convenção-Quadro das Nações Unidas sobre Mudança do Clima, o Acordo de Paris, a Agenda de Ação de Adis Abeba da Terceira Conferência Internacional sobre Financiamento para o Desenvolvimento, os Objetivos de Desenvolvimento Sustentável da Agenda 2030 para o Desenvolvimento Sustentável, adotada na Assembleia Geral das Nações Unidas em setembro de 2015;</w:t>
      </w:r>
    </w:p>
    <w:p w14:paraId="6B8C4980" w14:textId="77777777" w:rsidR="00D8302D" w:rsidRPr="002E2D15" w:rsidRDefault="00D8302D" w:rsidP="002E2D15">
      <w:pPr>
        <w:suppressAutoHyphens/>
        <w:kinsoku w:val="0"/>
        <w:contextualSpacing/>
        <w:jc w:val="both"/>
        <w:rPr>
          <w:sz w:val="22"/>
          <w:szCs w:val="22"/>
          <w:lang w:eastAsia="ar-SA"/>
        </w:rPr>
      </w:pPr>
    </w:p>
    <w:p w14:paraId="7FECB559" w14:textId="77777777" w:rsidR="00D8302D" w:rsidRPr="002E2D15" w:rsidRDefault="00D8302D" w:rsidP="002E2D15">
      <w:pPr>
        <w:suppressAutoHyphens/>
        <w:kinsoku w:val="0"/>
        <w:ind w:firstLine="706"/>
        <w:contextualSpacing/>
        <w:jc w:val="both"/>
        <w:rPr>
          <w:sz w:val="22"/>
          <w:szCs w:val="22"/>
        </w:rPr>
      </w:pPr>
      <w:r w:rsidRPr="002E2D15">
        <w:rPr>
          <w:sz w:val="22"/>
          <w:szCs w:val="22"/>
        </w:rPr>
        <w:lastRenderedPageBreak/>
        <w:t>TENDO EM VISTA o Programa Interamericano de Desenvolvimento Sustentável 2016–2021 (PIDS), adotado pela AG/RES. 2882 (XLVI-O/16), e o Plano Interamericano de Prevenção e Resposta aos Desastres e Coordenação da Assistência Humanitária, adotado pela AG/RES. 2750 (XLII-O/12);</w:t>
      </w:r>
    </w:p>
    <w:p w14:paraId="36F60F4B" w14:textId="77777777" w:rsidR="00D8302D" w:rsidRPr="002E2D15" w:rsidRDefault="00D8302D" w:rsidP="002E2D15">
      <w:pPr>
        <w:suppressAutoHyphens/>
        <w:kinsoku w:val="0"/>
        <w:contextualSpacing/>
        <w:jc w:val="both"/>
        <w:rPr>
          <w:sz w:val="22"/>
          <w:szCs w:val="22"/>
          <w:lang w:eastAsia="ar-SA"/>
        </w:rPr>
      </w:pPr>
    </w:p>
    <w:p w14:paraId="18B582BF" w14:textId="77777777" w:rsidR="00D8302D" w:rsidRPr="002E2D15" w:rsidRDefault="00D8302D" w:rsidP="002E2D15">
      <w:pPr>
        <w:suppressAutoHyphens/>
        <w:kinsoku w:val="0"/>
        <w:ind w:firstLine="706"/>
        <w:contextualSpacing/>
        <w:jc w:val="both"/>
        <w:rPr>
          <w:sz w:val="22"/>
          <w:szCs w:val="22"/>
        </w:rPr>
      </w:pPr>
      <w:r w:rsidRPr="002E2D15">
        <w:rPr>
          <w:sz w:val="22"/>
          <w:szCs w:val="22"/>
        </w:rPr>
        <w:t>RECORDANDO a realização da Plataforma Global para a Redução do Risco de Desastres, ocorrida em maio de 2019, em Genebra, Suíça;</w:t>
      </w:r>
    </w:p>
    <w:p w14:paraId="6F409553" w14:textId="77777777" w:rsidR="002E2D15" w:rsidRDefault="002E2D15" w:rsidP="002E2D15">
      <w:pPr>
        <w:suppressAutoHyphens/>
        <w:kinsoku w:val="0"/>
        <w:ind w:firstLine="706"/>
        <w:contextualSpacing/>
        <w:jc w:val="both"/>
        <w:rPr>
          <w:sz w:val="22"/>
          <w:szCs w:val="22"/>
        </w:rPr>
      </w:pPr>
    </w:p>
    <w:p w14:paraId="00C5ACDE" w14:textId="562F4A41" w:rsidR="00D8302D" w:rsidRPr="002E2D15" w:rsidRDefault="00D8302D" w:rsidP="002E2D15">
      <w:pPr>
        <w:suppressAutoHyphens/>
        <w:kinsoku w:val="0"/>
        <w:ind w:firstLine="706"/>
        <w:contextualSpacing/>
        <w:jc w:val="both"/>
        <w:rPr>
          <w:sz w:val="22"/>
          <w:szCs w:val="22"/>
        </w:rPr>
      </w:pPr>
      <w:r w:rsidRPr="002E2D15">
        <w:rPr>
          <w:sz w:val="22"/>
          <w:szCs w:val="22"/>
        </w:rPr>
        <w:t>RESSALTANDO os progressos feitos pelos Estados membros, as agências internacionais, os organismos e as organizações internacionais, regionais e sub-regionais quanto à redução do risco de desastres e à coordenação da assistência humanitária;</w:t>
      </w:r>
    </w:p>
    <w:p w14:paraId="3A856A29" w14:textId="77777777" w:rsidR="00D8302D" w:rsidRPr="002E2D15" w:rsidRDefault="00D8302D" w:rsidP="002E2D15">
      <w:pPr>
        <w:suppressAutoHyphens/>
        <w:kinsoku w:val="0"/>
        <w:contextualSpacing/>
        <w:jc w:val="both"/>
        <w:rPr>
          <w:sz w:val="22"/>
          <w:szCs w:val="22"/>
          <w:lang w:eastAsia="ar-SA"/>
        </w:rPr>
      </w:pPr>
    </w:p>
    <w:p w14:paraId="2B467280" w14:textId="77777777" w:rsidR="00D8302D" w:rsidRPr="002E2D15" w:rsidRDefault="00D8302D" w:rsidP="002E2D15">
      <w:pPr>
        <w:suppressAutoHyphens/>
        <w:kinsoku w:val="0"/>
        <w:ind w:firstLine="706"/>
        <w:contextualSpacing/>
        <w:jc w:val="both"/>
        <w:rPr>
          <w:sz w:val="22"/>
          <w:szCs w:val="22"/>
        </w:rPr>
      </w:pPr>
      <w:r w:rsidRPr="002E2D15">
        <w:rPr>
          <w:sz w:val="22"/>
          <w:szCs w:val="22"/>
        </w:rPr>
        <w:t>ENFATIZANDO as crescentes ameaças multicausais, em especial as relacionadas à mudança do clima, e a necessidade de que a ação humanitária inclua a adaptação à mudança do clima como parte de um enfoque integrado da redução do risco de desastres e da resiliência;</w:t>
      </w:r>
    </w:p>
    <w:p w14:paraId="48A36201" w14:textId="77777777" w:rsidR="00D8302D" w:rsidRPr="002E2D15" w:rsidRDefault="00D8302D" w:rsidP="002E2D15">
      <w:pPr>
        <w:suppressAutoHyphens/>
        <w:kinsoku w:val="0"/>
        <w:contextualSpacing/>
        <w:jc w:val="both"/>
        <w:rPr>
          <w:sz w:val="22"/>
          <w:szCs w:val="22"/>
          <w:lang w:eastAsia="ar-SA"/>
        </w:rPr>
      </w:pPr>
    </w:p>
    <w:p w14:paraId="3EF3A179" w14:textId="77777777" w:rsidR="00D8302D" w:rsidRPr="002E2D15" w:rsidRDefault="00D8302D" w:rsidP="002E2D15">
      <w:pPr>
        <w:suppressAutoHyphens/>
        <w:kinsoku w:val="0"/>
        <w:ind w:firstLine="706"/>
        <w:contextualSpacing/>
        <w:jc w:val="both"/>
        <w:rPr>
          <w:sz w:val="22"/>
          <w:szCs w:val="22"/>
        </w:rPr>
      </w:pPr>
      <w:r w:rsidRPr="002E2D15">
        <w:rPr>
          <w:sz w:val="22"/>
          <w:szCs w:val="22"/>
        </w:rPr>
        <w:t>EXPRESSANDO a preocupação com o contexto atual da região, onde os fenômenos agravados pela mudança do clima, especialmente a seca recorrente e a temporada anual de furacões, devem somar-se às consequências agravadas pela degradação ambiental, tornando agora mais necessária do que nunca a assistência humanitária aos grupos em situação de vulnerabilidade, com perspectiva de gênero e enfoque de direitos;</w:t>
      </w:r>
    </w:p>
    <w:p w14:paraId="23866205" w14:textId="77777777" w:rsidR="00D8302D" w:rsidRPr="002E2D15" w:rsidRDefault="00D8302D" w:rsidP="002E2D15">
      <w:pPr>
        <w:suppressAutoHyphens/>
        <w:kinsoku w:val="0"/>
        <w:contextualSpacing/>
        <w:jc w:val="both"/>
        <w:rPr>
          <w:sz w:val="22"/>
          <w:szCs w:val="22"/>
          <w:lang w:eastAsia="ar-SA"/>
        </w:rPr>
      </w:pPr>
    </w:p>
    <w:p w14:paraId="756B2318" w14:textId="77777777" w:rsidR="00D8302D" w:rsidRPr="002E2D15" w:rsidRDefault="00D8302D" w:rsidP="002E2D15">
      <w:pPr>
        <w:suppressAutoHyphens/>
        <w:kinsoku w:val="0"/>
        <w:ind w:firstLine="706"/>
        <w:contextualSpacing/>
        <w:jc w:val="both"/>
        <w:rPr>
          <w:sz w:val="22"/>
          <w:szCs w:val="22"/>
        </w:rPr>
      </w:pPr>
      <w:r w:rsidRPr="002E2D15">
        <w:rPr>
          <w:sz w:val="22"/>
          <w:szCs w:val="22"/>
        </w:rPr>
        <w:t>RESSALTANDO que a emergência sanitária mundial causada pela pandemia de covid-19 está gerando um enorme impacto entre as populações mais vulneráveis, sendo mais crucial do que nunca reforçar os valores de solidariedade, multilateralismo, igualdade, equidade, inclusão e  não discriminação, com o objetivo de não deixar ninguém para trás;</w:t>
      </w:r>
    </w:p>
    <w:p w14:paraId="2A2E4249" w14:textId="77777777" w:rsidR="00D8302D" w:rsidRPr="002E2D15" w:rsidRDefault="00D8302D" w:rsidP="002E2D15">
      <w:pPr>
        <w:suppressAutoHyphens/>
        <w:kinsoku w:val="0"/>
        <w:contextualSpacing/>
        <w:jc w:val="both"/>
        <w:rPr>
          <w:sz w:val="22"/>
          <w:szCs w:val="22"/>
          <w:lang w:eastAsia="ar-SA"/>
        </w:rPr>
      </w:pPr>
    </w:p>
    <w:p w14:paraId="4BB1BA05" w14:textId="77777777" w:rsidR="00D8302D" w:rsidRPr="002E2D15" w:rsidRDefault="00D8302D" w:rsidP="002E2D15">
      <w:pPr>
        <w:suppressAutoHyphens/>
        <w:kinsoku w:val="0"/>
        <w:ind w:firstLine="706"/>
        <w:contextualSpacing/>
        <w:jc w:val="both"/>
        <w:rPr>
          <w:sz w:val="22"/>
          <w:szCs w:val="22"/>
        </w:rPr>
      </w:pPr>
      <w:r w:rsidRPr="002E2D15">
        <w:rPr>
          <w:sz w:val="22"/>
          <w:szCs w:val="22"/>
        </w:rPr>
        <w:t>ENCARREGANDO os Estados membros, as agências do sistema interamericano, as organizações internacionais, regionais e sub-regionais e os outros atores hemisféricos de que continuem fomentando a promoção e a proteção de todos os direitos humanos e previnam todas as formas de violência, em particular a sexual e a baseada em gênero, nas ações humanitárias, garantindo uma atenção equitativa e inclusiva, especialmente aos deslocados ou aos grupos em situação de vulnerabilidade, entre outros, fortalecendo o papel ativo das comunidades afetadas, bem como a prestação de contas para garantir a qualidade da resposta;</w:t>
      </w:r>
    </w:p>
    <w:p w14:paraId="7C3A20F0" w14:textId="77777777" w:rsidR="00D8302D" w:rsidRPr="002E2D15" w:rsidRDefault="00D8302D" w:rsidP="002E2D15">
      <w:pPr>
        <w:suppressAutoHyphens/>
        <w:kinsoku w:val="0"/>
        <w:ind w:firstLine="706"/>
        <w:contextualSpacing/>
        <w:jc w:val="both"/>
        <w:rPr>
          <w:sz w:val="22"/>
          <w:szCs w:val="22"/>
        </w:rPr>
      </w:pPr>
    </w:p>
    <w:p w14:paraId="5D0E9032" w14:textId="77777777" w:rsidR="00D8302D" w:rsidRPr="002E2D15" w:rsidRDefault="00D8302D" w:rsidP="002E2D15">
      <w:pPr>
        <w:suppressAutoHyphens/>
        <w:kinsoku w:val="0"/>
        <w:ind w:firstLine="706"/>
        <w:contextualSpacing/>
        <w:jc w:val="both"/>
        <w:rPr>
          <w:sz w:val="22"/>
          <w:szCs w:val="22"/>
        </w:rPr>
      </w:pPr>
      <w:r w:rsidRPr="002E2D15">
        <w:rPr>
          <w:sz w:val="22"/>
          <w:szCs w:val="22"/>
        </w:rPr>
        <w:t>RECONHECENDO que um requisito indispensável para que as respostas humanitárias sejam efetivas é que considerem as características específicas de todos os segmentos populacionais afetados, incluindo mulheres e meninas como agentes de fortalecimento da resiliência diante dos riscos de desastres e da mudança do clima;</w:t>
      </w:r>
    </w:p>
    <w:p w14:paraId="12BEB57E" w14:textId="77777777" w:rsidR="00D8302D" w:rsidRPr="002E2D15" w:rsidRDefault="00D8302D" w:rsidP="002E2D15">
      <w:pPr>
        <w:suppressAutoHyphens/>
        <w:kinsoku w:val="0"/>
        <w:contextualSpacing/>
        <w:jc w:val="both"/>
        <w:rPr>
          <w:sz w:val="22"/>
          <w:szCs w:val="22"/>
          <w:lang w:eastAsia="ar-SA"/>
        </w:rPr>
      </w:pPr>
    </w:p>
    <w:p w14:paraId="394568C2" w14:textId="77777777" w:rsidR="00D8302D" w:rsidRPr="002E2D15" w:rsidRDefault="00D8302D" w:rsidP="002E2D15">
      <w:pPr>
        <w:suppressAutoHyphens/>
        <w:kinsoku w:val="0"/>
        <w:ind w:firstLine="706"/>
        <w:contextualSpacing/>
        <w:jc w:val="both"/>
        <w:rPr>
          <w:sz w:val="22"/>
          <w:szCs w:val="22"/>
        </w:rPr>
      </w:pPr>
      <w:r w:rsidRPr="002E2D15">
        <w:rPr>
          <w:sz w:val="22"/>
          <w:szCs w:val="22"/>
        </w:rPr>
        <w:t>DESTACANDO o papel dos voluntários e voluntárias e do pessoal  humanitário nas diferentes etapas de redução do risco de desastres, considerando esses atores como importantes para prevenir e mitigar emergências e crises humanitárias e a elas responder no âmbito regional;</w:t>
      </w:r>
    </w:p>
    <w:p w14:paraId="36D0A6FB" w14:textId="77777777" w:rsidR="00D8302D" w:rsidRPr="002E2D15" w:rsidRDefault="00D8302D" w:rsidP="002E2D15">
      <w:pPr>
        <w:suppressAutoHyphens/>
        <w:kinsoku w:val="0"/>
        <w:contextualSpacing/>
        <w:jc w:val="both"/>
        <w:rPr>
          <w:sz w:val="22"/>
          <w:szCs w:val="22"/>
          <w:lang w:eastAsia="ar-SA"/>
        </w:rPr>
      </w:pPr>
    </w:p>
    <w:p w14:paraId="7DA2B01D" w14:textId="77777777" w:rsidR="00D8302D" w:rsidRPr="002E2D15" w:rsidRDefault="00D8302D" w:rsidP="002E2D15">
      <w:pPr>
        <w:suppressAutoHyphens/>
        <w:kinsoku w:val="0"/>
        <w:ind w:firstLine="706"/>
        <w:contextualSpacing/>
        <w:jc w:val="both"/>
        <w:rPr>
          <w:sz w:val="22"/>
          <w:szCs w:val="22"/>
        </w:rPr>
      </w:pPr>
      <w:r w:rsidRPr="002E2D15">
        <w:rPr>
          <w:sz w:val="22"/>
          <w:szCs w:val="22"/>
        </w:rPr>
        <w:t>TENDO EM VISTA a necessidade de considerar, nas políticas públicas vinculadas à redução do risco de desastres, o conhecimento local e indígena, suas  práticas e as formas de organização, bem como das pessoas afrodescendentes e de outros grupos étnicos;</w:t>
      </w:r>
    </w:p>
    <w:p w14:paraId="654B4CEE" w14:textId="77777777" w:rsidR="00D8302D" w:rsidRPr="002E2D15" w:rsidRDefault="00D8302D" w:rsidP="002E2D15">
      <w:pPr>
        <w:suppressAutoHyphens/>
        <w:kinsoku w:val="0"/>
        <w:contextualSpacing/>
        <w:jc w:val="both"/>
        <w:rPr>
          <w:sz w:val="22"/>
          <w:szCs w:val="22"/>
          <w:lang w:eastAsia="ar-SA"/>
        </w:rPr>
      </w:pPr>
    </w:p>
    <w:p w14:paraId="14D3452B" w14:textId="77777777" w:rsidR="00D8302D" w:rsidRPr="002E2D15" w:rsidRDefault="00D8302D" w:rsidP="002E2D15">
      <w:pPr>
        <w:suppressAutoHyphens/>
        <w:kinsoku w:val="0"/>
        <w:ind w:firstLine="706"/>
        <w:contextualSpacing/>
        <w:jc w:val="both"/>
        <w:rPr>
          <w:sz w:val="22"/>
          <w:szCs w:val="22"/>
        </w:rPr>
      </w:pPr>
      <w:r w:rsidRPr="002E2D15">
        <w:rPr>
          <w:sz w:val="22"/>
          <w:szCs w:val="22"/>
        </w:rPr>
        <w:lastRenderedPageBreak/>
        <w:t>DESTACANDO que a promoção, o fortalecimento das capacidades locais, a participação efetiva das organizações comunitárias e a integração da sociedade civil são primordiais para que as possíveis vítimas se tornem atores da prevenção, da preparação e da resposta a desastres e, consequentemente, transformem a sua própria realidade;</w:t>
      </w:r>
    </w:p>
    <w:p w14:paraId="08113C05" w14:textId="77777777" w:rsidR="00D8302D" w:rsidRPr="002E2D15" w:rsidRDefault="00D8302D" w:rsidP="002E2D15">
      <w:pPr>
        <w:suppressAutoHyphens/>
        <w:kinsoku w:val="0"/>
        <w:contextualSpacing/>
        <w:jc w:val="both"/>
        <w:rPr>
          <w:sz w:val="22"/>
          <w:szCs w:val="22"/>
          <w:lang w:eastAsia="ar-SA"/>
        </w:rPr>
      </w:pPr>
    </w:p>
    <w:p w14:paraId="1838448A" w14:textId="77777777" w:rsidR="00D8302D" w:rsidRPr="002E2D15" w:rsidRDefault="00D8302D" w:rsidP="002E2D15">
      <w:pPr>
        <w:suppressAutoHyphens/>
        <w:kinsoku w:val="0"/>
        <w:ind w:firstLine="706"/>
        <w:contextualSpacing/>
        <w:jc w:val="both"/>
        <w:rPr>
          <w:sz w:val="22"/>
          <w:szCs w:val="22"/>
        </w:rPr>
      </w:pPr>
      <w:r w:rsidRPr="002E2D15">
        <w:rPr>
          <w:sz w:val="22"/>
          <w:szCs w:val="22"/>
        </w:rPr>
        <w:t>RECONHECENDO a necessidade de que os setores público e privado, bem como os círculos acadêmicos e as instituições científicas e de pesquisa, trabalhem em mais estreita colaboração e criem oportunidades de cooperação no âmbito humanitário regional;</w:t>
      </w:r>
    </w:p>
    <w:p w14:paraId="41AA28DE" w14:textId="77777777" w:rsidR="00D8302D" w:rsidRPr="002E2D15" w:rsidRDefault="00D8302D" w:rsidP="002E2D15">
      <w:pPr>
        <w:suppressAutoHyphens/>
        <w:kinsoku w:val="0"/>
        <w:contextualSpacing/>
        <w:jc w:val="both"/>
        <w:rPr>
          <w:sz w:val="22"/>
          <w:szCs w:val="22"/>
          <w:lang w:eastAsia="ar-SA"/>
        </w:rPr>
      </w:pPr>
    </w:p>
    <w:p w14:paraId="37EE921C" w14:textId="77777777" w:rsidR="00D8302D" w:rsidRPr="002E2D15" w:rsidRDefault="00D8302D" w:rsidP="002E2D15">
      <w:pPr>
        <w:suppressAutoHyphens/>
        <w:kinsoku w:val="0"/>
        <w:ind w:firstLine="706"/>
        <w:contextualSpacing/>
        <w:jc w:val="both"/>
        <w:rPr>
          <w:sz w:val="22"/>
          <w:szCs w:val="22"/>
        </w:rPr>
      </w:pPr>
      <w:r w:rsidRPr="002E2D15">
        <w:rPr>
          <w:sz w:val="22"/>
          <w:szCs w:val="22"/>
        </w:rPr>
        <w:t>CONFIRMANDO a importância de continuar promovendo medidas regionais, sub-regionais, nacionais e locais para a prevenção dos desastres, e para responder a eles, tendo como prioridade os grupos em situação de vulnerabilidade, como as mulheres, as crianças, as pessoas idosas e as pessoas com deficiência, entre outros;</w:t>
      </w:r>
    </w:p>
    <w:p w14:paraId="5667FE42" w14:textId="77777777" w:rsidR="00D8302D" w:rsidRPr="002E2D15" w:rsidRDefault="00D8302D" w:rsidP="002E2D15">
      <w:pPr>
        <w:suppressAutoHyphens/>
        <w:kinsoku w:val="0"/>
        <w:contextualSpacing/>
        <w:jc w:val="both"/>
        <w:rPr>
          <w:sz w:val="22"/>
          <w:szCs w:val="22"/>
          <w:lang w:eastAsia="ar-SA"/>
        </w:rPr>
      </w:pPr>
    </w:p>
    <w:p w14:paraId="6E920BC1" w14:textId="77777777" w:rsidR="00D8302D" w:rsidRPr="002E2D15" w:rsidRDefault="00D8302D" w:rsidP="002E2D15">
      <w:pPr>
        <w:suppressAutoHyphens/>
        <w:kinsoku w:val="0"/>
        <w:ind w:firstLine="706"/>
        <w:contextualSpacing/>
        <w:jc w:val="both"/>
        <w:rPr>
          <w:sz w:val="22"/>
          <w:szCs w:val="22"/>
        </w:rPr>
      </w:pPr>
      <w:r w:rsidRPr="002E2D15">
        <w:rPr>
          <w:sz w:val="22"/>
          <w:szCs w:val="22"/>
        </w:rPr>
        <w:t>REITERANDO a necessidade de continuar realizando ações de redução do risco de desastres, evitando a duplicidade de esforços, promovendo a otimização de recursos mediante a utilização de ferramentas de coordenação existentes e promovendo a sinergia de esforços humanitários na região;</w:t>
      </w:r>
    </w:p>
    <w:p w14:paraId="73D9ECE3" w14:textId="77777777" w:rsidR="00D8302D" w:rsidRPr="002E2D15" w:rsidRDefault="00D8302D" w:rsidP="002E2D15">
      <w:pPr>
        <w:suppressAutoHyphens/>
        <w:kinsoku w:val="0"/>
        <w:contextualSpacing/>
        <w:jc w:val="both"/>
        <w:rPr>
          <w:sz w:val="22"/>
          <w:szCs w:val="22"/>
          <w:lang w:eastAsia="ar-SA"/>
        </w:rPr>
      </w:pPr>
    </w:p>
    <w:p w14:paraId="0A61B163" w14:textId="77777777" w:rsidR="00D8302D" w:rsidRPr="002E2D15" w:rsidRDefault="00D8302D" w:rsidP="002E2D15">
      <w:pPr>
        <w:suppressAutoHyphens/>
        <w:kinsoku w:val="0"/>
        <w:contextualSpacing/>
        <w:jc w:val="both"/>
        <w:rPr>
          <w:sz w:val="22"/>
          <w:szCs w:val="22"/>
        </w:rPr>
      </w:pPr>
      <w:r w:rsidRPr="002E2D15">
        <w:rPr>
          <w:sz w:val="22"/>
          <w:szCs w:val="22"/>
        </w:rPr>
        <w:tab/>
        <w:t>RECORDANDO que a Iniciativa Capacetes Brancos desenvolve suas atividades por meio de um modelo de trabalho baseado na cooperação, na solidariedade, na participação comunitária e na promoção de comunidades sustentáveis; é inteiramente civil e se apoia em um corpo de voluntários; atua a pedido do país afetado ou no âmbito de um apelo de assistência humanitária internacional; e presta seu apoio em contextos de resposta a desastres e crises, bem como em tarefas de reabilitação, reconstrução e desenvolvimento. Ademais, fomenta a prevenção, a gestão de riscos de desastres e a resiliência;</w:t>
      </w:r>
    </w:p>
    <w:p w14:paraId="60DECC40" w14:textId="77777777" w:rsidR="00D8302D" w:rsidRPr="002E2D15" w:rsidRDefault="00D8302D" w:rsidP="002E2D15">
      <w:pPr>
        <w:suppressAutoHyphens/>
        <w:kinsoku w:val="0"/>
        <w:contextualSpacing/>
        <w:jc w:val="both"/>
        <w:rPr>
          <w:sz w:val="22"/>
          <w:szCs w:val="22"/>
          <w:lang w:eastAsia="ar-SA"/>
        </w:rPr>
      </w:pPr>
    </w:p>
    <w:p w14:paraId="5E4E904F" w14:textId="77777777" w:rsidR="00D8302D" w:rsidRPr="002E2D15" w:rsidRDefault="00D8302D" w:rsidP="002E2D15">
      <w:pPr>
        <w:suppressAutoHyphens/>
        <w:kinsoku w:val="0"/>
        <w:contextualSpacing/>
        <w:jc w:val="both"/>
        <w:rPr>
          <w:sz w:val="22"/>
          <w:szCs w:val="22"/>
        </w:rPr>
      </w:pPr>
      <w:r w:rsidRPr="002E2D15">
        <w:rPr>
          <w:sz w:val="22"/>
          <w:szCs w:val="22"/>
        </w:rPr>
        <w:tab/>
        <w:t>DESTACANDO os acordos e os memorandos de entendimento que a Iniciativa Capacetes Brancos assinou no âmbito da assistência humanitária internacional entre 2018 e 2021 com o Governo da República do Panamá em apoio ao Centro Logístico Regional de Assistência Humanitária (CLRAH), a Unidade Nacional para a Gestão do Risco de Desastres da República da Colômbia, o Centro de Operações de Emergências da República Dominicana e a Secretaria das Relações Exteriores do México, entre outros;</w:t>
      </w:r>
    </w:p>
    <w:p w14:paraId="07031778" w14:textId="77777777" w:rsidR="00D8302D" w:rsidRPr="002E2D15" w:rsidRDefault="00D8302D" w:rsidP="002E2D15">
      <w:pPr>
        <w:suppressAutoHyphens/>
        <w:kinsoku w:val="0"/>
        <w:contextualSpacing/>
        <w:jc w:val="both"/>
        <w:rPr>
          <w:sz w:val="22"/>
          <w:szCs w:val="22"/>
          <w:lang w:eastAsia="ar-SA"/>
        </w:rPr>
      </w:pPr>
    </w:p>
    <w:p w14:paraId="1CA8183C" w14:textId="77777777" w:rsidR="00D8302D" w:rsidRPr="002E2D15" w:rsidRDefault="00D8302D" w:rsidP="002E2D15">
      <w:pPr>
        <w:suppressAutoHyphens/>
        <w:kinsoku w:val="0"/>
        <w:contextualSpacing/>
        <w:jc w:val="both"/>
        <w:rPr>
          <w:sz w:val="22"/>
          <w:szCs w:val="22"/>
        </w:rPr>
      </w:pPr>
      <w:r w:rsidRPr="002E2D15">
        <w:rPr>
          <w:sz w:val="22"/>
          <w:szCs w:val="22"/>
        </w:rPr>
        <w:tab/>
        <w:t>EXPRESSANDO SUA SATISFAÇÃO pela assistência humanitária proporcionada pela Iniciativa Capacetes Brancos por meio de missões de envio de voluntários e voluntárias e/ou suprimentos humanitários para Antígua e Barbuda, Barbados, Colômbia, Costa Rica, Dominica, El Salvador, Equador, Grenada, Guatemala, Haiti, Honduras, Jamaica, México, Panamá, Paraguai, Peru, República Dominicana, Saint Kitts e Névis, Santa Lúcia, São Vicente e Granadinas e Trinidad e Tobago em virtude da ocorrência de crises humanitárias, da passagem dos furacões Eta e Iota e da pandemia de covid-19;</w:t>
      </w:r>
    </w:p>
    <w:p w14:paraId="77B66DC4" w14:textId="77777777" w:rsidR="00D8302D" w:rsidRPr="002E2D15" w:rsidRDefault="00D8302D" w:rsidP="002E2D15">
      <w:pPr>
        <w:suppressAutoHyphens/>
        <w:kinsoku w:val="0"/>
        <w:contextualSpacing/>
        <w:jc w:val="both"/>
        <w:rPr>
          <w:sz w:val="22"/>
          <w:szCs w:val="22"/>
          <w:lang w:eastAsia="ar-SA"/>
        </w:rPr>
      </w:pPr>
    </w:p>
    <w:p w14:paraId="2C9DEC58" w14:textId="77777777" w:rsidR="00D8302D" w:rsidRPr="002E2D15" w:rsidRDefault="00D8302D" w:rsidP="002E2D15">
      <w:pPr>
        <w:suppressAutoHyphens/>
        <w:kinsoku w:val="0"/>
        <w:contextualSpacing/>
        <w:jc w:val="both"/>
        <w:rPr>
          <w:sz w:val="22"/>
          <w:szCs w:val="22"/>
        </w:rPr>
      </w:pPr>
      <w:r w:rsidRPr="002E2D15">
        <w:rPr>
          <w:sz w:val="22"/>
          <w:szCs w:val="22"/>
        </w:rPr>
        <w:tab/>
        <w:t>EXORTANDO ao incremento da colaboração entre os Capacetes Brancos e o Centro de Coordenação para a Prevenção dos Desastres Naturais na América Central (CEPREDENAC), a Agência Caribenha de Gestão de Emergência em Casos de Desastre (CDEMA), a Comissão Andina para a Prevenção e Assistência de Desastres (CAPRADE) e a Reunião de Ministros e Altas Autoridades de Gestão Integral de Riscos de Desastres (RMAGIR), assim como com outras instâncias regionais vinculadas à redução do risco de desastres e à coordenação da assistência humanitária;</w:t>
      </w:r>
    </w:p>
    <w:p w14:paraId="4180B46D" w14:textId="77777777" w:rsidR="00D8302D" w:rsidRPr="002E2D15" w:rsidRDefault="00D8302D" w:rsidP="002E2D15">
      <w:pPr>
        <w:suppressAutoHyphens/>
        <w:kinsoku w:val="0"/>
        <w:contextualSpacing/>
        <w:jc w:val="both"/>
        <w:rPr>
          <w:sz w:val="22"/>
          <w:szCs w:val="22"/>
          <w:lang w:eastAsia="ar-SA"/>
        </w:rPr>
      </w:pPr>
    </w:p>
    <w:p w14:paraId="019685E1" w14:textId="77777777" w:rsidR="00D8302D" w:rsidRPr="002E2D15" w:rsidRDefault="00D8302D" w:rsidP="002E2D15">
      <w:pPr>
        <w:suppressAutoHyphens/>
        <w:kinsoku w:val="0"/>
        <w:contextualSpacing/>
        <w:jc w:val="both"/>
        <w:rPr>
          <w:sz w:val="22"/>
          <w:szCs w:val="22"/>
        </w:rPr>
      </w:pPr>
      <w:r w:rsidRPr="002E2D15">
        <w:rPr>
          <w:sz w:val="22"/>
          <w:szCs w:val="22"/>
        </w:rPr>
        <w:lastRenderedPageBreak/>
        <w:tab/>
        <w:t>RECONHECENDO que as ações desenvolvidas pela Iniciativa Capacetes Brancos se ajustam aos princípios da Carta da Organização dos Estados Americanos, realizam-se a pedido do Estado afetado e em estreita colaboração com suas autoridades nacionais pertinentes e regem-se pelos princípios do Direito internacional dos direitos humanos e do Direito internacional humanitário,</w:t>
      </w:r>
    </w:p>
    <w:p w14:paraId="069AB8C5" w14:textId="77777777" w:rsidR="00D8302D" w:rsidRPr="002E2D15" w:rsidRDefault="00D8302D" w:rsidP="002E2D15">
      <w:pPr>
        <w:suppressAutoHyphens/>
        <w:kinsoku w:val="0"/>
        <w:contextualSpacing/>
        <w:jc w:val="both"/>
        <w:rPr>
          <w:sz w:val="22"/>
          <w:szCs w:val="22"/>
          <w:lang w:eastAsia="ar-SA"/>
        </w:rPr>
      </w:pPr>
    </w:p>
    <w:p w14:paraId="78AF2199" w14:textId="77777777" w:rsidR="00D8302D" w:rsidRPr="002E2D15" w:rsidRDefault="00D8302D" w:rsidP="002E2D15">
      <w:pPr>
        <w:suppressAutoHyphens/>
        <w:kinsoku w:val="0"/>
        <w:contextualSpacing/>
        <w:jc w:val="both"/>
        <w:rPr>
          <w:sz w:val="22"/>
          <w:szCs w:val="22"/>
        </w:rPr>
      </w:pPr>
      <w:r w:rsidRPr="002E2D15">
        <w:rPr>
          <w:sz w:val="22"/>
          <w:szCs w:val="22"/>
        </w:rPr>
        <w:t>RESOLVE:</w:t>
      </w:r>
    </w:p>
    <w:p w14:paraId="71A8F395" w14:textId="77777777" w:rsidR="00D8302D" w:rsidRPr="002E2D15" w:rsidRDefault="00D8302D" w:rsidP="002E2D15">
      <w:pPr>
        <w:suppressAutoHyphens/>
        <w:kinsoku w:val="0"/>
        <w:contextualSpacing/>
        <w:jc w:val="both"/>
        <w:rPr>
          <w:sz w:val="22"/>
          <w:szCs w:val="22"/>
          <w:lang w:eastAsia="ar-SA"/>
        </w:rPr>
      </w:pPr>
    </w:p>
    <w:p w14:paraId="79958599" w14:textId="300A0203" w:rsidR="00D8302D" w:rsidRPr="00486E8E" w:rsidRDefault="00D8302D" w:rsidP="00486E8E">
      <w:pPr>
        <w:pStyle w:val="ListParagraph"/>
        <w:numPr>
          <w:ilvl w:val="0"/>
          <w:numId w:val="15"/>
        </w:numPr>
        <w:suppressAutoHyphens/>
        <w:kinsoku w:val="0"/>
        <w:ind w:left="0" w:firstLine="720"/>
        <w:jc w:val="both"/>
        <w:rPr>
          <w:sz w:val="22"/>
          <w:szCs w:val="22"/>
        </w:rPr>
      </w:pPr>
      <w:r w:rsidRPr="00486E8E">
        <w:rPr>
          <w:sz w:val="22"/>
          <w:szCs w:val="22"/>
        </w:rPr>
        <w:t>Reiterar seu apoio à Iniciativa Capacetes Brancos como um dos mecanismos valiosos no Hemisfério para a prevenção, a redução e a resposta em casos de desastre e na luta contra a fome e a pobreza.</w:t>
      </w:r>
    </w:p>
    <w:p w14:paraId="78334321" w14:textId="77777777" w:rsidR="00D8302D" w:rsidRPr="002E2D15" w:rsidRDefault="00D8302D" w:rsidP="00486E8E">
      <w:pPr>
        <w:suppressAutoHyphens/>
        <w:kinsoku w:val="0"/>
        <w:ind w:firstLine="720"/>
        <w:contextualSpacing/>
        <w:jc w:val="both"/>
        <w:rPr>
          <w:sz w:val="22"/>
          <w:szCs w:val="22"/>
          <w:lang w:eastAsia="ar-SA"/>
        </w:rPr>
      </w:pPr>
    </w:p>
    <w:p w14:paraId="61A32F44" w14:textId="6553DF2E" w:rsidR="00D8302D" w:rsidRPr="00486E8E" w:rsidRDefault="00D8302D" w:rsidP="00486E8E">
      <w:pPr>
        <w:pStyle w:val="ListParagraph"/>
        <w:numPr>
          <w:ilvl w:val="0"/>
          <w:numId w:val="15"/>
        </w:numPr>
        <w:suppressAutoHyphens/>
        <w:kinsoku w:val="0"/>
        <w:ind w:left="0" w:firstLine="720"/>
        <w:jc w:val="both"/>
        <w:rPr>
          <w:sz w:val="22"/>
          <w:szCs w:val="22"/>
        </w:rPr>
      </w:pPr>
      <w:r w:rsidRPr="00486E8E">
        <w:rPr>
          <w:sz w:val="22"/>
          <w:szCs w:val="22"/>
        </w:rPr>
        <w:t>Estimular a Iniciativa Capacetes Brancos a que continue fomentando a crescente colaboração humanitária regional e, nesse âmbito, prossiga compartilhando sua experiência, lições aprendidas e melhores práticas em prevenção, preparação e resposta em casos de desastre, resiliência e promoção de comunidades sustentáveis.</w:t>
      </w:r>
    </w:p>
    <w:p w14:paraId="4C591B4B" w14:textId="77777777" w:rsidR="00D8302D" w:rsidRPr="002E2D15" w:rsidRDefault="00D8302D" w:rsidP="00486E8E">
      <w:pPr>
        <w:suppressAutoHyphens/>
        <w:kinsoku w:val="0"/>
        <w:ind w:firstLine="720"/>
        <w:contextualSpacing/>
        <w:jc w:val="both"/>
        <w:rPr>
          <w:sz w:val="22"/>
          <w:szCs w:val="22"/>
          <w:lang w:eastAsia="ar-SA"/>
        </w:rPr>
      </w:pPr>
    </w:p>
    <w:p w14:paraId="1178F30D" w14:textId="547946EB" w:rsidR="00D8302D" w:rsidRPr="00486E8E" w:rsidRDefault="00D8302D" w:rsidP="00486E8E">
      <w:pPr>
        <w:pStyle w:val="ListParagraph"/>
        <w:numPr>
          <w:ilvl w:val="0"/>
          <w:numId w:val="15"/>
        </w:numPr>
        <w:suppressAutoHyphens/>
        <w:kinsoku w:val="0"/>
        <w:ind w:left="0" w:firstLine="720"/>
        <w:jc w:val="both"/>
        <w:rPr>
          <w:sz w:val="22"/>
          <w:szCs w:val="22"/>
        </w:rPr>
      </w:pPr>
      <w:r w:rsidRPr="00486E8E">
        <w:rPr>
          <w:sz w:val="22"/>
          <w:szCs w:val="22"/>
        </w:rPr>
        <w:t>Estimular a Secretaria-Geral a que continue fortalecendo e coordenando as ações entre a Iniciativa Capacetes Brancos e a Secretaria Executiva de Desenvolvimento Integral (SEDI), bem como em outros órgãos e mecanismos da Organização dos Estados Americanos (OEA), facilitando parcerias e acordos de trabalho entre outros organismos e instituições da região e a Iniciativa Capacetes Brancos.</w:t>
      </w:r>
    </w:p>
    <w:p w14:paraId="6810F54A" w14:textId="2BBD63B1" w:rsidR="00D8302D" w:rsidRPr="002E2D15" w:rsidRDefault="00D8302D" w:rsidP="00486E8E">
      <w:pPr>
        <w:suppressAutoHyphens/>
        <w:kinsoku w:val="0"/>
        <w:ind w:firstLine="720"/>
        <w:contextualSpacing/>
        <w:jc w:val="both"/>
        <w:rPr>
          <w:sz w:val="22"/>
          <w:szCs w:val="22"/>
          <w:lang w:eastAsia="ar-SA"/>
        </w:rPr>
      </w:pPr>
    </w:p>
    <w:p w14:paraId="6D9F013B" w14:textId="4FA6931D" w:rsidR="00D8302D" w:rsidRPr="00486E8E" w:rsidRDefault="00D8302D" w:rsidP="00486E8E">
      <w:pPr>
        <w:pStyle w:val="ListParagraph"/>
        <w:numPr>
          <w:ilvl w:val="0"/>
          <w:numId w:val="15"/>
        </w:numPr>
        <w:suppressAutoHyphens/>
        <w:kinsoku w:val="0"/>
        <w:ind w:left="0" w:firstLine="720"/>
        <w:jc w:val="both"/>
        <w:rPr>
          <w:sz w:val="22"/>
          <w:szCs w:val="22"/>
        </w:rPr>
      </w:pPr>
      <w:r w:rsidRPr="00486E8E">
        <w:rPr>
          <w:sz w:val="22"/>
          <w:szCs w:val="22"/>
        </w:rPr>
        <w:t>Encarregar a Secretaria-Geral e a Iniciativa Capacetes Brancos de que continuem explorando atividades conjuntas de assistência humanitária nos Estados membros que assim o solicitem.</w:t>
      </w:r>
    </w:p>
    <w:p w14:paraId="07FF1D1D" w14:textId="77777777" w:rsidR="00D8302D" w:rsidRPr="002E2D15" w:rsidRDefault="00D8302D" w:rsidP="00486E8E">
      <w:pPr>
        <w:suppressAutoHyphens/>
        <w:kinsoku w:val="0"/>
        <w:ind w:firstLine="720"/>
        <w:contextualSpacing/>
        <w:jc w:val="both"/>
        <w:rPr>
          <w:sz w:val="22"/>
          <w:szCs w:val="22"/>
          <w:lang w:eastAsia="ar-SA"/>
        </w:rPr>
      </w:pPr>
    </w:p>
    <w:p w14:paraId="610C8B91" w14:textId="60246F09" w:rsidR="00D8302D" w:rsidRPr="00486E8E" w:rsidRDefault="00D8302D" w:rsidP="00486E8E">
      <w:pPr>
        <w:pStyle w:val="ListParagraph"/>
        <w:numPr>
          <w:ilvl w:val="0"/>
          <w:numId w:val="15"/>
        </w:numPr>
        <w:suppressAutoHyphens/>
        <w:kinsoku w:val="0"/>
        <w:ind w:left="0" w:firstLine="720"/>
        <w:jc w:val="both"/>
        <w:rPr>
          <w:sz w:val="22"/>
          <w:szCs w:val="22"/>
        </w:rPr>
      </w:pPr>
      <w:r w:rsidRPr="00486E8E">
        <w:rPr>
          <w:sz w:val="22"/>
          <w:szCs w:val="22"/>
        </w:rPr>
        <w:t>Reiterar o convite aos Estados membros, que assim o considerem, para que contribuam para o Fundo Humanitário OEA–Capacetes Brancos, com o objetivo de permitir que se continuem realizando seminários e oficinas de capacitação em redução do risco de desastres e desenvolvimento de projetos de fortalecimento de capacidades, em temas vinculados à resiliência, à prevenção e à redução do risco de desastres, à promoção de comunidades sustentáveis e à assistência humanitária internacional.</w:t>
      </w:r>
    </w:p>
    <w:p w14:paraId="3953360F" w14:textId="77777777" w:rsidR="00D8302D" w:rsidRPr="002E2D15" w:rsidRDefault="00D8302D" w:rsidP="00486E8E">
      <w:pPr>
        <w:suppressAutoHyphens/>
        <w:kinsoku w:val="0"/>
        <w:ind w:firstLine="720"/>
        <w:contextualSpacing/>
        <w:jc w:val="both"/>
        <w:rPr>
          <w:sz w:val="22"/>
          <w:szCs w:val="22"/>
          <w:lang w:eastAsia="ar-SA"/>
        </w:rPr>
      </w:pPr>
    </w:p>
    <w:p w14:paraId="484DA501" w14:textId="4F2C4C2A" w:rsidR="00D8302D" w:rsidRPr="00486E8E" w:rsidRDefault="00D8302D" w:rsidP="00486E8E">
      <w:pPr>
        <w:pStyle w:val="ListParagraph"/>
        <w:numPr>
          <w:ilvl w:val="0"/>
          <w:numId w:val="15"/>
        </w:numPr>
        <w:suppressAutoHyphens/>
        <w:kinsoku w:val="0"/>
        <w:ind w:left="0" w:firstLine="720"/>
        <w:jc w:val="both"/>
        <w:rPr>
          <w:sz w:val="22"/>
          <w:szCs w:val="22"/>
        </w:rPr>
      </w:pPr>
      <w:r w:rsidRPr="00486E8E">
        <w:rPr>
          <w:sz w:val="22"/>
          <w:szCs w:val="22"/>
        </w:rPr>
        <w:t>Solicitar à Secretaria-Geral que informe a Assembleia Geral, em seu Quinquagésimo Terceiro Período Ordinário de Sessões, sobre a implementação desta resolução. A execução das atividades previstas nesta resolução estará sujeita à disponibilidade de recursos financeiros alocados no orçamento-programa da Organização e outros recursos.</w:t>
      </w:r>
    </w:p>
    <w:p w14:paraId="65C0031C" w14:textId="3982B7B5" w:rsidR="00D8302D" w:rsidRPr="002E2D15" w:rsidRDefault="00D8302D" w:rsidP="002E2D15">
      <w:pPr>
        <w:jc w:val="both"/>
        <w:rPr>
          <w:sz w:val="22"/>
          <w:szCs w:val="22"/>
          <w:highlight w:val="yellow"/>
        </w:rPr>
      </w:pPr>
    </w:p>
    <w:p w14:paraId="12442AA8" w14:textId="77777777" w:rsidR="00D8302D" w:rsidRPr="002E2D15" w:rsidRDefault="00D8302D" w:rsidP="002E2D15">
      <w:pPr>
        <w:rPr>
          <w:sz w:val="22"/>
          <w:szCs w:val="22"/>
        </w:rPr>
      </w:pPr>
    </w:p>
    <w:p w14:paraId="327C018B" w14:textId="221B9593" w:rsidR="00E74FC9" w:rsidRPr="002E2D15" w:rsidRDefault="00CB0A88" w:rsidP="002E2D15">
      <w:pPr>
        <w:jc w:val="center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46E4CB" wp14:editId="0FBC4AA0">
            <wp:simplePos x="0" y="0"/>
            <wp:positionH relativeFrom="margin">
              <wp:align>right</wp:align>
            </wp:positionH>
            <wp:positionV relativeFrom="paragraph">
              <wp:posOffset>1681621</wp:posOffset>
            </wp:positionV>
            <wp:extent cx="713232" cy="713232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0E2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745F07C" wp14:editId="509C8B7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FBF76C2" w14:textId="555759A0" w:rsidR="006540E2" w:rsidRPr="006540E2" w:rsidRDefault="006540E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AG08387P01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5F0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k2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8aHhixNtUM/nBn07K24bfHeBfnwQA4CBp0YynCP&#10;pVYGjzJ7i7PGuJ9/Oo946ApeVIGBQNE/1uRQk/qqobiL8elpnKC0OT37mGPjjj3LY49ed9cGxI0x&#10;/lYkM+KDOpi1M90zZnces8JFWiB3ydGewbwOw5hi9oWczxMIM2MpLPSjFQcZxj499c/k7F4eAcK6&#10;M4fRoeKNSgbsoJP5Opi6TRKKPA+s7unHvCVl7f8NcaCP9wn1+geb/QI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42Wk2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2FBF76C2" w14:textId="555759A0" w:rsidR="006540E2" w:rsidRPr="006540E2" w:rsidRDefault="006540E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AG08387P01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74FC9" w:rsidRPr="002E2D15" w:rsidSect="002E2D15">
      <w:headerReference w:type="even" r:id="rId14"/>
      <w:headerReference w:type="default" r:id="rId15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934B" w14:textId="77777777" w:rsidR="00021979" w:rsidRDefault="00021979" w:rsidP="00DE3AB3">
      <w:r>
        <w:separator/>
      </w:r>
    </w:p>
  </w:endnote>
  <w:endnote w:type="continuationSeparator" w:id="0">
    <w:p w14:paraId="51A9A75F" w14:textId="77777777" w:rsidR="00021979" w:rsidRDefault="00021979" w:rsidP="00D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C6954" w14:textId="77777777" w:rsidR="00021979" w:rsidRDefault="00021979" w:rsidP="00DE3AB3">
      <w:r>
        <w:separator/>
      </w:r>
    </w:p>
  </w:footnote>
  <w:footnote w:type="continuationSeparator" w:id="0">
    <w:p w14:paraId="35D325F5" w14:textId="77777777" w:rsidR="00021979" w:rsidRDefault="00021979" w:rsidP="00DE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8F2D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5D4DB525" w14:textId="77777777" w:rsidR="00800745" w:rsidRDefault="00AF6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C834" w14:textId="2FF13E36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132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5B344EFA" w14:textId="77777777" w:rsidR="00800745" w:rsidRDefault="00AF6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1CEB"/>
    <w:multiLevelType w:val="hybridMultilevel"/>
    <w:tmpl w:val="3A100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792A"/>
    <w:multiLevelType w:val="singleLevel"/>
    <w:tmpl w:val="3D7E77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299E56B8"/>
    <w:multiLevelType w:val="hybridMultilevel"/>
    <w:tmpl w:val="085871C6"/>
    <w:lvl w:ilvl="0" w:tplc="E47878E2">
      <w:start w:val="1"/>
      <w:numFmt w:val="decimal"/>
      <w:lvlText w:val="%1."/>
      <w:lvlJc w:val="left"/>
      <w:pPr>
        <w:ind w:left="1441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2AF24204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DF0457"/>
    <w:multiLevelType w:val="hybridMultilevel"/>
    <w:tmpl w:val="3C04D3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BFD5D09"/>
    <w:multiLevelType w:val="hybridMultilevel"/>
    <w:tmpl w:val="F81876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>
      <w:start w:val="1"/>
      <w:numFmt w:val="lowerRoman"/>
      <w:lvlText w:val="%3."/>
      <w:lvlJc w:val="right"/>
      <w:pPr>
        <w:ind w:left="2960" w:hanging="180"/>
      </w:pPr>
    </w:lvl>
    <w:lvl w:ilvl="3" w:tplc="0409000F">
      <w:start w:val="1"/>
      <w:numFmt w:val="decimal"/>
      <w:lvlText w:val="%4."/>
      <w:lvlJc w:val="left"/>
      <w:pPr>
        <w:ind w:left="3680" w:hanging="360"/>
      </w:pPr>
    </w:lvl>
    <w:lvl w:ilvl="4" w:tplc="04090019">
      <w:start w:val="1"/>
      <w:numFmt w:val="lowerLetter"/>
      <w:lvlText w:val="%5."/>
      <w:lvlJc w:val="left"/>
      <w:pPr>
        <w:ind w:left="4400" w:hanging="360"/>
      </w:pPr>
    </w:lvl>
    <w:lvl w:ilvl="5" w:tplc="0409001B">
      <w:start w:val="1"/>
      <w:numFmt w:val="lowerRoman"/>
      <w:lvlText w:val="%6."/>
      <w:lvlJc w:val="right"/>
      <w:pPr>
        <w:ind w:left="5120" w:hanging="180"/>
      </w:pPr>
    </w:lvl>
    <w:lvl w:ilvl="6" w:tplc="0409000F">
      <w:start w:val="1"/>
      <w:numFmt w:val="decimal"/>
      <w:lvlText w:val="%7."/>
      <w:lvlJc w:val="left"/>
      <w:pPr>
        <w:ind w:left="5840" w:hanging="360"/>
      </w:pPr>
    </w:lvl>
    <w:lvl w:ilvl="7" w:tplc="04090019">
      <w:start w:val="1"/>
      <w:numFmt w:val="lowerLetter"/>
      <w:lvlText w:val="%8."/>
      <w:lvlJc w:val="left"/>
      <w:pPr>
        <w:ind w:left="6560" w:hanging="360"/>
      </w:pPr>
    </w:lvl>
    <w:lvl w:ilvl="8" w:tplc="0409001B">
      <w:start w:val="1"/>
      <w:numFmt w:val="lowerRoman"/>
      <w:lvlText w:val="%9."/>
      <w:lvlJc w:val="right"/>
      <w:pPr>
        <w:ind w:left="7280" w:hanging="180"/>
      </w:pPr>
    </w:lvl>
  </w:abstractNum>
  <w:abstractNum w:abstractNumId="10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9F6FAC"/>
    <w:multiLevelType w:val="hybridMultilevel"/>
    <w:tmpl w:val="5C185B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544187"/>
    <w:multiLevelType w:val="hybridMultilevel"/>
    <w:tmpl w:val="8548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6C4606"/>
    <w:multiLevelType w:val="hybridMultilevel"/>
    <w:tmpl w:val="5FCA6146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2"/>
  </w:num>
  <w:num w:numId="5">
    <w:abstractNumId w:val="13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3"/>
  </w:num>
  <w:num w:numId="14">
    <w:abstractNumId w:val="11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B3"/>
    <w:rsid w:val="00014AD1"/>
    <w:rsid w:val="00021979"/>
    <w:rsid w:val="000451D4"/>
    <w:rsid w:val="000501AA"/>
    <w:rsid w:val="00094ECD"/>
    <w:rsid w:val="000A176C"/>
    <w:rsid w:val="000C354D"/>
    <w:rsid w:val="00103CEE"/>
    <w:rsid w:val="001439E5"/>
    <w:rsid w:val="00145516"/>
    <w:rsid w:val="001B3D5F"/>
    <w:rsid w:val="001F2D99"/>
    <w:rsid w:val="0023595A"/>
    <w:rsid w:val="002B46C3"/>
    <w:rsid w:val="002B621A"/>
    <w:rsid w:val="002E2D15"/>
    <w:rsid w:val="002F1D37"/>
    <w:rsid w:val="002F6B4E"/>
    <w:rsid w:val="003071D3"/>
    <w:rsid w:val="00322E5E"/>
    <w:rsid w:val="00391A8F"/>
    <w:rsid w:val="003C2486"/>
    <w:rsid w:val="003F4023"/>
    <w:rsid w:val="004472C3"/>
    <w:rsid w:val="00486E8E"/>
    <w:rsid w:val="004A7469"/>
    <w:rsid w:val="00507EB3"/>
    <w:rsid w:val="005D543C"/>
    <w:rsid w:val="00634FA3"/>
    <w:rsid w:val="0063667F"/>
    <w:rsid w:val="006540E2"/>
    <w:rsid w:val="0066150F"/>
    <w:rsid w:val="00667E3C"/>
    <w:rsid w:val="00792991"/>
    <w:rsid w:val="007F6FC3"/>
    <w:rsid w:val="00801532"/>
    <w:rsid w:val="00835BE0"/>
    <w:rsid w:val="00892B7A"/>
    <w:rsid w:val="00894676"/>
    <w:rsid w:val="008D1406"/>
    <w:rsid w:val="008E097D"/>
    <w:rsid w:val="008E1780"/>
    <w:rsid w:val="00914C8A"/>
    <w:rsid w:val="00956CA9"/>
    <w:rsid w:val="009C4286"/>
    <w:rsid w:val="009C4435"/>
    <w:rsid w:val="00A145F3"/>
    <w:rsid w:val="00A32946"/>
    <w:rsid w:val="00AA7D96"/>
    <w:rsid w:val="00AF683D"/>
    <w:rsid w:val="00B41D3E"/>
    <w:rsid w:val="00B92562"/>
    <w:rsid w:val="00C53AD7"/>
    <w:rsid w:val="00CB0A88"/>
    <w:rsid w:val="00D11F0E"/>
    <w:rsid w:val="00D253DA"/>
    <w:rsid w:val="00D618A2"/>
    <w:rsid w:val="00D8302D"/>
    <w:rsid w:val="00DE3AB3"/>
    <w:rsid w:val="00DF49C7"/>
    <w:rsid w:val="00E6595B"/>
    <w:rsid w:val="00E74FC9"/>
    <w:rsid w:val="00ED55C1"/>
    <w:rsid w:val="00EF1DC1"/>
    <w:rsid w:val="00F2132F"/>
    <w:rsid w:val="00F24DC9"/>
    <w:rsid w:val="00F43A93"/>
    <w:rsid w:val="00F7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3486B0B9"/>
  <w15:docId w15:val="{0EC67725-327A-423A-AC12-9C3F2B32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D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02D"/>
    <w:pPr>
      <w:keepNext/>
      <w:outlineLvl w:val="0"/>
    </w:pPr>
    <w:rPr>
      <w:rFonts w:ascii="Arial" w:hAnsi="Arial"/>
      <w:b/>
      <w:bCs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3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3AB3"/>
    <w:rPr>
      <w:sz w:val="24"/>
      <w:szCs w:val="24"/>
    </w:rPr>
  </w:style>
  <w:style w:type="character" w:styleId="PageNumber">
    <w:name w:val="page number"/>
    <w:rsid w:val="00DE3AB3"/>
    <w:rPr>
      <w:rFonts w:cs="Times New Roman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DE3AB3"/>
    <w:pPr>
      <w:ind w:left="720"/>
      <w:contextualSpacing/>
    </w:pPr>
  </w:style>
  <w:style w:type="paragraph" w:styleId="Footer">
    <w:name w:val="footer"/>
    <w:basedOn w:val="Normal"/>
    <w:link w:val="FooterChar"/>
    <w:rsid w:val="00DE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AB3"/>
    <w:rPr>
      <w:sz w:val="24"/>
      <w:szCs w:val="24"/>
    </w:rPr>
  </w:style>
  <w:style w:type="character" w:styleId="CommentReference">
    <w:name w:val="annotation reference"/>
    <w:basedOn w:val="DefaultParagraphFont"/>
    <w:rsid w:val="00447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2C3"/>
  </w:style>
  <w:style w:type="paragraph" w:styleId="CommentSubject">
    <w:name w:val="annotation subject"/>
    <w:basedOn w:val="CommentText"/>
    <w:next w:val="CommentText"/>
    <w:link w:val="CommentSubjectChar"/>
    <w:rsid w:val="0044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2C3"/>
    <w:rPr>
      <w:b/>
      <w:bCs/>
    </w:rPr>
  </w:style>
  <w:style w:type="paragraph" w:styleId="BalloonText">
    <w:name w:val="Balloon Text"/>
    <w:basedOn w:val="Normal"/>
    <w:link w:val="BalloonTextChar"/>
    <w:rsid w:val="0044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2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4472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72C3"/>
  </w:style>
  <w:style w:type="character" w:styleId="FootnoteReference">
    <w:name w:val="footnote reference"/>
    <w:basedOn w:val="DefaultParagraphFont"/>
    <w:rsid w:val="004472C3"/>
    <w:rPr>
      <w:vertAlign w:val="superscript"/>
    </w:rPr>
  </w:style>
  <w:style w:type="paragraph" w:styleId="Revision">
    <w:name w:val="Revision"/>
    <w:hidden/>
    <w:uiPriority w:val="99"/>
    <w:semiHidden/>
    <w:rsid w:val="00103CE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22E5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2E5E"/>
    <w:rPr>
      <w:rFonts w:ascii="Calibri" w:eastAsiaTheme="minorHAnsi" w:hAnsi="Calibri" w:cstheme="minorBidi"/>
      <w:sz w:val="22"/>
      <w:szCs w:val="21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"/>
    <w:uiPriority w:val="34"/>
    <w:locked/>
    <w:rsid w:val="00956CA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71D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8302D"/>
    <w:rPr>
      <w:rFonts w:ascii="Arial" w:hAnsi="Arial"/>
      <w:b/>
      <w:bCs/>
      <w:sz w:val="22"/>
      <w:lang w:val="en-US"/>
    </w:rPr>
  </w:style>
  <w:style w:type="paragraph" w:customStyle="1" w:styleId="TitleUppercase">
    <w:name w:val="Title Uppercase"/>
    <w:basedOn w:val="Normal"/>
    <w:rsid w:val="002E2D15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rFonts w:eastAsia="SimSun"/>
      <w:snapToGrid w:val="0"/>
      <w:sz w:val="22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032BE-301A-49DB-9BAD-CF4B853CBD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19FEFE1-19C3-4D43-8D6B-A8D2E9FB3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8B516-505A-4BAA-A723-0BE2A19DC9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E70525-56FD-4783-B607-943DFB5AB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1561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- Avalos,  Estela</dc:creator>
  <cp:lastModifiedBy>Mayorga, Georgina</cp:lastModifiedBy>
  <cp:revision>6</cp:revision>
  <dcterms:created xsi:type="dcterms:W3CDTF">2021-11-06T00:51:00Z</dcterms:created>
  <dcterms:modified xsi:type="dcterms:W3CDTF">2021-11-06T00:52:00Z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